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szCs w:val="32"/>
        </w:rPr>
      </w:pPr>
      <w:bookmarkStart w:id="1" w:name="_GoBack"/>
      <w:bookmarkEnd w:id="1"/>
    </w:p>
    <w:p>
      <w:pPr>
        <w:ind w:firstLine="1130" w:firstLineChars="565"/>
        <w:rPr>
          <w:rFonts w:ascii="宋体" w:hAnsi="宋体" w:eastAsia="宋体" w:cs="宋体"/>
          <w:color w:val="000000" w:themeColor="text1"/>
          <w:kern w:val="0"/>
          <w:sz w:val="20"/>
          <w:szCs w:val="20"/>
          <w14:textFill>
            <w14:solidFill>
              <w14:schemeClr w14:val="tx1"/>
            </w14:solidFill>
          </w14:textFill>
        </w:rPr>
      </w:pPr>
    </w:p>
    <w:p>
      <w:pPr>
        <w:jc w:val="center"/>
        <w:rPr>
          <w:rFonts w:ascii="方正小标宋_GBK" w:eastAsia="方正小标宋_GBK"/>
          <w:sz w:val="36"/>
          <w:szCs w:val="36"/>
        </w:rPr>
      </w:pPr>
      <w:r>
        <w:rPr>
          <w:rFonts w:hint="eastAsia" w:ascii="方正小标宋_GBK" w:eastAsia="方正小标宋_GBK"/>
          <w:sz w:val="36"/>
          <w:szCs w:val="36"/>
        </w:rPr>
        <w:t>社会保险领域基层政务公开标准目录</w:t>
      </w:r>
    </w:p>
    <w:tbl>
      <w:tblPr>
        <w:tblStyle w:val="4"/>
        <w:tblpPr w:leftFromText="180" w:rightFromText="180" w:vertAnchor="text" w:tblpXSpec="center" w:tblpY="1"/>
        <w:tblOverlap w:val="never"/>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98"/>
        <w:gridCol w:w="693"/>
        <w:gridCol w:w="806"/>
        <w:gridCol w:w="715"/>
        <w:gridCol w:w="2081"/>
        <w:gridCol w:w="2982"/>
        <w:gridCol w:w="1143"/>
        <w:gridCol w:w="1480"/>
        <w:gridCol w:w="2100"/>
        <w:gridCol w:w="447"/>
        <w:gridCol w:w="677"/>
        <w:gridCol w:w="375"/>
        <w:gridCol w:w="469"/>
        <w:gridCol w:w="749"/>
        <w:gridCol w:w="4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190" w:type="pct"/>
            <w:vMerge w:val="restart"/>
            <w:tcBorders>
              <w:tl2br w:val="nil"/>
              <w:tr2bl w:val="nil"/>
            </w:tcBorders>
            <w:shd w:val="clear" w:color="auto" w:fill="auto"/>
            <w:noWrap/>
            <w:tcMar>
              <w:top w:w="15" w:type="dxa"/>
              <w:left w:w="15" w:type="dxa"/>
              <w:right w:w="15" w:type="dxa"/>
            </w:tcMar>
            <w:vAlign w:val="center"/>
          </w:tcPr>
          <w:p>
            <w:pPr>
              <w:widowControl/>
              <w:jc w:val="center"/>
              <w:textAlignment w:val="center"/>
              <w:rPr>
                <w:rFonts w:hint="eastAsia" w:ascii="宋体" w:hAnsi="宋体" w:eastAsia="宋体" w:cs="宋体"/>
                <w:b/>
                <w:color w:val="000000" w:themeColor="text1"/>
                <w:sz w:val="22"/>
                <w:szCs w:val="22"/>
                <w:lang w:val="en-US" w:eastAsia="zh-CN"/>
                <w14:textFill>
                  <w14:solidFill>
                    <w14:schemeClr w14:val="tx1"/>
                  </w14:solidFill>
                </w14:textFill>
              </w:rPr>
            </w:pPr>
            <w:r>
              <w:rPr>
                <w:rFonts w:hint="eastAsia" w:ascii="宋体" w:hAnsi="宋体" w:eastAsia="宋体" w:cs="宋体"/>
                <w:b/>
                <w:color w:val="000000" w:themeColor="text1"/>
                <w:sz w:val="22"/>
                <w:szCs w:val="22"/>
                <w:lang w:val="en-US" w:eastAsia="zh-CN"/>
                <w14:textFill>
                  <w14:solidFill>
                    <w14:schemeClr w14:val="tx1"/>
                  </w14:solidFill>
                </w14:textFill>
              </w:rPr>
              <w:t>序号</w:t>
            </w:r>
          </w:p>
        </w:tc>
        <w:tc>
          <w:tcPr>
            <w:tcW w:w="703" w:type="pct"/>
            <w:gridSpan w:val="3"/>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公开事项</w:t>
            </w:r>
          </w:p>
        </w:tc>
        <w:tc>
          <w:tcPr>
            <w:tcW w:w="661" w:type="pct"/>
            <w:vMerge w:val="restar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公开内容</w:t>
            </w:r>
            <w:r>
              <w:rPr>
                <w:rFonts w:hint="eastAsia" w:ascii="宋体" w:hAnsi="宋体" w:eastAsia="宋体" w:cs="宋体"/>
                <w:b/>
                <w:color w:val="000000" w:themeColor="text1"/>
                <w:kern w:val="0"/>
                <w:sz w:val="22"/>
                <w:szCs w:val="22"/>
                <w14:textFill>
                  <w14:solidFill>
                    <w14:schemeClr w14:val="tx1"/>
                  </w14:solidFill>
                </w14:textFill>
              </w:rPr>
              <w:br w:type="textWrapping"/>
            </w:r>
            <w:r>
              <w:rPr>
                <w:rFonts w:hint="eastAsia" w:ascii="宋体" w:hAnsi="宋体" w:eastAsia="宋体" w:cs="宋体"/>
                <w:b/>
                <w:color w:val="000000" w:themeColor="text1"/>
                <w:kern w:val="0"/>
                <w:sz w:val="22"/>
                <w:szCs w:val="22"/>
                <w14:textFill>
                  <w14:solidFill>
                    <w14:schemeClr w14:val="tx1"/>
                  </w14:solidFill>
                </w14:textFill>
              </w:rPr>
              <w:t>（要素）</w:t>
            </w:r>
          </w:p>
        </w:tc>
        <w:tc>
          <w:tcPr>
            <w:tcW w:w="947" w:type="pct"/>
            <w:vMerge w:val="restar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公开依据</w:t>
            </w:r>
          </w:p>
        </w:tc>
        <w:tc>
          <w:tcPr>
            <w:tcW w:w="363" w:type="pct"/>
            <w:vMerge w:val="restar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公开时限</w:t>
            </w:r>
          </w:p>
        </w:tc>
        <w:tc>
          <w:tcPr>
            <w:tcW w:w="470" w:type="pct"/>
            <w:vMerge w:val="restar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公开主体</w:t>
            </w:r>
          </w:p>
        </w:tc>
        <w:tc>
          <w:tcPr>
            <w:tcW w:w="667" w:type="pct"/>
            <w:vMerge w:val="restar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公开渠道和载体</w:t>
            </w:r>
          </w:p>
        </w:tc>
        <w:tc>
          <w:tcPr>
            <w:tcW w:w="357" w:type="pct"/>
            <w:gridSpan w:val="2"/>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kern w:val="0"/>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公开</w:t>
            </w:r>
          </w:p>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对象</w:t>
            </w:r>
          </w:p>
        </w:tc>
        <w:tc>
          <w:tcPr>
            <w:tcW w:w="268" w:type="pct"/>
            <w:gridSpan w:val="2"/>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kern w:val="0"/>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公开</w:t>
            </w:r>
          </w:p>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方式</w:t>
            </w:r>
          </w:p>
        </w:tc>
        <w:tc>
          <w:tcPr>
            <w:tcW w:w="369" w:type="pct"/>
            <w:gridSpan w:val="2"/>
            <w:tcBorders>
              <w:tl2br w:val="nil"/>
              <w:tr2bl w:val="nil"/>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190" w:type="pct"/>
            <w:vMerge w:val="continue"/>
            <w:tcBorders>
              <w:tl2br w:val="nil"/>
              <w:tr2bl w:val="nil"/>
            </w:tcBorders>
            <w:shd w:val="clear" w:color="auto" w:fill="auto"/>
            <w:noWrap/>
            <w:tcMar>
              <w:top w:w="15" w:type="dxa"/>
              <w:left w:w="15" w:type="dxa"/>
              <w:right w:w="15" w:type="dxa"/>
            </w:tcMar>
            <w:vAlign w:val="center"/>
          </w:tcPr>
          <w:p>
            <w:pPr>
              <w:jc w:val="center"/>
              <w:rPr>
                <w:rFonts w:ascii="宋体" w:hAnsi="宋体" w:eastAsia="宋体" w:cs="宋体"/>
                <w:b/>
                <w:color w:val="000000" w:themeColor="text1"/>
                <w:sz w:val="22"/>
                <w:szCs w:val="22"/>
                <w14:textFill>
                  <w14:solidFill>
                    <w14:schemeClr w14:val="tx1"/>
                  </w14:solidFill>
                </w14:textFill>
              </w:rPr>
            </w:pPr>
          </w:p>
        </w:tc>
        <w:tc>
          <w:tcPr>
            <w:tcW w:w="220" w:type="pc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一级事项</w:t>
            </w:r>
          </w:p>
        </w:tc>
        <w:tc>
          <w:tcPr>
            <w:tcW w:w="256" w:type="pc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二级事项</w:t>
            </w:r>
          </w:p>
        </w:tc>
        <w:tc>
          <w:tcPr>
            <w:tcW w:w="227" w:type="pc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三级事项</w:t>
            </w:r>
          </w:p>
        </w:tc>
        <w:tc>
          <w:tcPr>
            <w:tcW w:w="661" w:type="pct"/>
            <w:vMerge w:val="continue"/>
            <w:tcBorders>
              <w:tl2br w:val="nil"/>
              <w:tr2bl w:val="nil"/>
            </w:tcBorders>
            <w:shd w:val="clear" w:color="auto" w:fill="auto"/>
            <w:tcMar>
              <w:top w:w="15" w:type="dxa"/>
              <w:left w:w="15" w:type="dxa"/>
              <w:right w:w="15" w:type="dxa"/>
            </w:tcMar>
            <w:vAlign w:val="center"/>
          </w:tcPr>
          <w:p>
            <w:pPr>
              <w:jc w:val="left"/>
              <w:rPr>
                <w:rFonts w:ascii="宋体" w:hAnsi="宋体" w:eastAsia="宋体" w:cs="宋体"/>
                <w:b/>
                <w:color w:val="000000" w:themeColor="text1"/>
                <w:sz w:val="22"/>
                <w:szCs w:val="22"/>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jc w:val="center"/>
              <w:rPr>
                <w:rFonts w:ascii="宋体" w:hAnsi="宋体" w:eastAsia="宋体" w:cs="宋体"/>
                <w:b/>
                <w:color w:val="000000" w:themeColor="text1"/>
                <w:sz w:val="22"/>
                <w:szCs w:val="22"/>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jc w:val="center"/>
              <w:rPr>
                <w:rFonts w:ascii="宋体" w:hAnsi="宋体" w:eastAsia="宋体" w:cs="宋体"/>
                <w:b/>
                <w:color w:val="000000" w:themeColor="text1"/>
                <w:sz w:val="22"/>
                <w:szCs w:val="22"/>
                <w14:textFill>
                  <w14:solidFill>
                    <w14:schemeClr w14:val="tx1"/>
                  </w14:solidFill>
                </w14:textFill>
              </w:rPr>
            </w:pPr>
          </w:p>
        </w:tc>
        <w:tc>
          <w:tcPr>
            <w:tcW w:w="470" w:type="pct"/>
            <w:vMerge w:val="continue"/>
            <w:tcBorders>
              <w:tl2br w:val="nil"/>
              <w:tr2bl w:val="nil"/>
            </w:tcBorders>
            <w:shd w:val="clear" w:color="auto" w:fill="auto"/>
            <w:tcMar>
              <w:top w:w="15" w:type="dxa"/>
              <w:left w:w="15" w:type="dxa"/>
              <w:right w:w="15" w:type="dxa"/>
            </w:tcMar>
            <w:vAlign w:val="center"/>
          </w:tcPr>
          <w:p>
            <w:pPr>
              <w:jc w:val="center"/>
              <w:rPr>
                <w:rFonts w:ascii="宋体" w:hAnsi="宋体" w:eastAsia="宋体" w:cs="宋体"/>
                <w:b/>
                <w:color w:val="000000" w:themeColor="text1"/>
                <w:sz w:val="22"/>
                <w:szCs w:val="22"/>
                <w14:textFill>
                  <w14:solidFill>
                    <w14:schemeClr w14:val="tx1"/>
                  </w14:solidFill>
                </w14:textFill>
              </w:rPr>
            </w:pPr>
          </w:p>
        </w:tc>
        <w:tc>
          <w:tcPr>
            <w:tcW w:w="667" w:type="pct"/>
            <w:vMerge w:val="continue"/>
            <w:tcBorders>
              <w:tl2br w:val="nil"/>
              <w:tr2bl w:val="nil"/>
            </w:tcBorders>
            <w:shd w:val="clear" w:color="auto" w:fill="auto"/>
            <w:tcMar>
              <w:top w:w="15" w:type="dxa"/>
              <w:left w:w="15" w:type="dxa"/>
              <w:right w:w="15" w:type="dxa"/>
            </w:tcMar>
            <w:vAlign w:val="center"/>
          </w:tcPr>
          <w:p>
            <w:pPr>
              <w:jc w:val="center"/>
              <w:rPr>
                <w:rFonts w:ascii="宋体" w:hAnsi="宋体" w:eastAsia="宋体" w:cs="宋体"/>
                <w:b/>
                <w:color w:val="000000" w:themeColor="text1"/>
                <w:sz w:val="22"/>
                <w:szCs w:val="22"/>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全社会</w:t>
            </w:r>
          </w:p>
        </w:tc>
        <w:tc>
          <w:tcPr>
            <w:tcW w:w="215" w:type="pc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特定群体</w:t>
            </w:r>
          </w:p>
        </w:tc>
        <w:tc>
          <w:tcPr>
            <w:tcW w:w="119" w:type="pc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主动</w:t>
            </w:r>
          </w:p>
        </w:tc>
        <w:tc>
          <w:tcPr>
            <w:tcW w:w="149" w:type="pc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依申请</w:t>
            </w:r>
          </w:p>
        </w:tc>
        <w:tc>
          <w:tcPr>
            <w:tcW w:w="238" w:type="pc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县级</w:t>
            </w:r>
          </w:p>
        </w:tc>
        <w:tc>
          <w:tcPr>
            <w:tcW w:w="130" w:type="pct"/>
            <w:tcBorders>
              <w:tl2br w:val="nil"/>
              <w:tr2bl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kern w:val="0"/>
                <w:sz w:val="22"/>
                <w:szCs w:val="22"/>
                <w14:textFill>
                  <w14:solidFill>
                    <w14:schemeClr w14:val="tx1"/>
                  </w14:solidFill>
                </w14:textFill>
              </w:rPr>
              <w:t>乡级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1.社会保险登记</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1.1机关事业单位社会保险登记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3.《国务院关于机关事业单位工作人员养老保险制度改革的决定》（国发﹝2015﹞2号）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1.2企业单位社会保险登记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1.3灵活就业人员参保登记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1.4工程建设项目办理工伤保险参保登记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3.《社会保险费征缴暂行条例》（中华人民共和国国务院令710号）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1.5参保单位注销</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5"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1.6职工参保登记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5"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1.社会保险登记</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1.7城乡居民养老保险参保登记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3.《社会保险费征缴暂行条例》（中华人民共和国国务院令710号）</w:t>
            </w:r>
          </w:p>
        </w:tc>
        <w:tc>
          <w:tcPr>
            <w:tcW w:w="363"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2.社会保险参保信息维护</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2.1单位（项目）基本信息变更</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3.《社会保险费征缴暂行条例》（中华人民共和国国务院令710号）</w:t>
            </w:r>
          </w:p>
        </w:tc>
        <w:tc>
          <w:tcPr>
            <w:tcW w:w="363"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2.社会保险参保信息维护</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2.2个人基本信息变更</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3.《社会保险费征缴暂行条例》（中华人民共和国国务院令710号）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2.3养老保险待遇发放账户维护申请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2.4工伤保险待遇发放账户维护申请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2.5失业保险待遇发放账户维护申请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3.社会保险缴费申报</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3.1缴费人员增减申报</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3.《社会保险费征缴暂行条例》（中华人民共和国国务院令710号）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3.2社会保险缴费申报与变更</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3.3社会保险费延缴申请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3.4社会保险费欠费补缴申报</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3.5灵活就业人员缴费申报</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4.社会保险参保缴费记录查询</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4.1单位参保证明查询打印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3.《社会保险费征缴暂行条例》（中华人民共和国国务院令710号）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4.2个人权益记录查询打印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5.养老保险服务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5.1职工正常退休(职)申请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3.《中华人民共和国劳动保险条例》（1951年2月26，《中华人民共和国劳动保险条例》发布，自1951年02月26日起施行法律法规；1953年1月2日，《中华人民共和国劳动保险条例》经中央人民政府政务院修正）</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bookmarkStart w:id="0" w:name="_Hlk53761531"/>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5.2职工提前退休（职）申请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bookmarkEnd w:id="0"/>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5.3城乡居民养老保险待遇申领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5.养老保险服务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5.4暂停养老保险待遇申请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3.《中华人民共和国劳动保险条例》（1951年2月26，《中华人民共和国劳动保险条例》发布，自1951年02月26日起施行法律法规；1953年1月2日，《中华人民共和国劳动保险条例》经中央人民政府政务院修正）</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5.5恢复养老保险待遇申请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5.6个人账户一次性待遇申领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5.7丧葬补助金、抚恤金申领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5.8居民养老保险注销登记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5.9遗属待遇申领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5.养老保险服务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5.10病残津贴申领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3.《中华人民共和国劳动保险条例》（1951年2月26，《中华人民共和国劳动保险条例》发布，自1951年02月26日起施行法律法规；1953年1月2日，《中华人民共和国劳动保险条例》经中央人民政府政务院修正）</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5.11城镇职工基本养老保险关系转移接续申请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5.12机关事业单位养老保险关系转移接续申请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5.13城乡居民基本养老保险关系转移接续申请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5.养老保险服务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5.14机关事业单位基本养老保险与城镇企业职工基本养老保险互转申请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3.《中华人民共和国劳动保险条例》（1951年2月26，《中华人民共和国劳动保险条例》发布，自1951年02月26日起施行法律法规；1953年1月2日，《中华人民共和国劳动保险条例》经中央人民政府政务院修正）</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5.15城镇职工基本养老保险与城乡居民基本养老保险制度衔接申请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5.养老保险服务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5.16军地养老保险关系转移接续申请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3.《人力资源社会保障部财政部总参谋部总政治部总后勤部关于军人退役基本养老保险关系转移接续有关问题的通知》（后财﹝2015﹞1726号）</w:t>
            </w:r>
          </w:p>
        </w:tc>
        <w:tc>
          <w:tcPr>
            <w:tcW w:w="363"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5.17多重养老保险关系个人账户退费</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3.《人力资源和社会保障部＜关于贯彻落实国务院办公厅转发城镇企业职工基本养老保险关系转移接续暂行办法的通知》（人社部发﹝2009﹞187号）</w:t>
            </w:r>
          </w:p>
        </w:tc>
        <w:tc>
          <w:tcPr>
            <w:tcW w:w="363"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6.2用人单位办理工伤登记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6.3变更工伤登记</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6.4协议医疗机构的确认</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6.工伤保险服务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6.5协议康复机构的确认</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3.《工伤保险条例》（中华人民共和国国务院令第586号）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6.6辅助器具配置协议机构的确认</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6.7异地居住就医申请确认</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6.8异地工伤就医报告</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6.10转诊转院申请确认</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6.11工伤康复申请确认</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6.工伤保险服务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6.12工伤康复治疗期延长申请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3.《工伤保险条例》（中华人民共和国国务院令第586号）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6.13辅助器具配置或更换申请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6.14辅助器具异地配置申请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6.15停工留薪期确认和延长确认</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6.16工伤医疗（康复）费用申报</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6.17住院伙食补助费申领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6.工伤保险服务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6.18统筹地区以外交通、食宿费申领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3.《工伤保险条例》（中华人民共和国国务院令第586号）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6.19一次性工伤医疗补助金申请</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6.20辅助器具配置（更换）费用申报</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6.21伤残待遇申领（一次性伤残补助金、伤残津贴和生活护理费）</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6.工伤保险服务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6.22一次性工亡补助金（含生活困难，预支50%确认）、丧葬补助金申领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3.《工伤保险条例》（中华人民共和国国务院令第586号）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6.23供养亲属抚恤金申领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6.24工伤保险待遇变更</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7.失业保险服务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7.1失业保险金申领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3.《失业保险条例》（中华人民共和国国务院令第258号）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7.2丧葬补助金和抚恤金申领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7.3职业培训补贴申领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7.4职业介绍补贴申领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7.5农民合同制工人一次性生活补助申领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7.6代缴基本医疗保险费</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7.失业保险服务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7.7价格临时补贴申领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3.《失业保险条例》（中华人民共和国国务院令第258号）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7.8失业保险关系转移接续</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7.9稳岗补贴申领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7.10技能提升补贴申领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hint="eastAsia" w:ascii="宋体" w:hAnsi="宋体" w:eastAsia="宋体" w:cs="宋体"/>
                <w:color w:val="000000" w:themeColor="text1"/>
                <w:sz w:val="20"/>
                <w:szCs w:val="20"/>
                <w:lang w:eastAsia="zh-CN"/>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8.企业年金方案备案</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8.1企业年金方案备案</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3.《企业年金办法》（中华人民共和国人力资源和社会保障部、财政部令第36号）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hint="default" w:ascii="宋体" w:hAnsi="宋体" w:eastAsia="宋体" w:cs="宋体"/>
                <w:color w:val="000000" w:themeColor="text1"/>
                <w:sz w:val="20"/>
                <w:szCs w:val="20"/>
                <w:lang w:val="en-US" w:eastAsia="zh-CN"/>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8.2企业年金方案重要条款变更备案</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hint="default" w:ascii="宋体" w:hAnsi="宋体" w:eastAsia="宋体" w:cs="宋体"/>
                <w:color w:val="000000" w:themeColor="text1"/>
                <w:sz w:val="20"/>
                <w:szCs w:val="20"/>
                <w:lang w:val="en-US" w:eastAsia="zh-CN"/>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8.3企业年金方案终止备案</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hint="default" w:ascii="宋体" w:hAnsi="宋体" w:eastAsia="宋体" w:cs="宋体"/>
                <w:color w:val="000000" w:themeColor="text1"/>
                <w:sz w:val="20"/>
                <w:szCs w:val="20"/>
                <w:lang w:val="en-US" w:eastAsia="zh-CN"/>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9.社会保障卡服务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9.1社会保障卡申领</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3.《人力资源和社会保障部关于印发“中华人民共和国社会保障卡”管理办法的通知》（人社部发[2011]47号）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9.2社会保障卡启用（含社会保障卡银行账户激活）</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9.3社会保障卡应用状态查询</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9.社会保障卡服务</w:t>
            </w: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9.4社会保障卡信息变更（非关键信息）</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1.事项名称             2.事项简述             3.办理材料             4.办理方式             5.办理时限             6.结果送达             7.办事时间             8.办理机构及地点        9.咨询查询途径       10.监督投诉渠道</w:t>
            </w:r>
          </w:p>
        </w:tc>
        <w:tc>
          <w:tcPr>
            <w:tcW w:w="94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1.《中华人民共和国政府信息公开条例》（中华人民共和国国务院令第711号）</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3.《人力资源和社会保障部关于印发“中华人民共和国社会保障卡”管理办法的通知》（人社部发[2011]47号）</w:t>
            </w:r>
          </w:p>
        </w:tc>
        <w:tc>
          <w:tcPr>
            <w:tcW w:w="363"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信息形成或者变更之日起20个工作日内</w:t>
            </w: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restart"/>
            <w:tcBorders>
              <w:tl2br w:val="nil"/>
              <w:tr2bl w:val="nil"/>
            </w:tcBorders>
            <w:shd w:val="clear" w:color="auto" w:fill="auto"/>
            <w:tcMar>
              <w:top w:w="15" w:type="dxa"/>
              <w:left w:w="15" w:type="dxa"/>
              <w:right w:w="15" w:type="dxa"/>
            </w:tcMar>
            <w:vAlign w:val="center"/>
          </w:tcPr>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 xml:space="preserve">■政府网站    </w:t>
            </w:r>
          </w:p>
          <w:p>
            <w:pPr>
              <w:widowControl/>
              <w:spacing w:line="240" w:lineRule="exact"/>
              <w:jc w:val="left"/>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■政务服务中心</w:t>
            </w:r>
            <w:r>
              <w:rPr>
                <w:rFonts w:hint="eastAsia" w:ascii="宋体" w:hAnsi="宋体" w:eastAsia="宋体" w:cs="宋体"/>
                <w:color w:val="000000" w:themeColor="text1"/>
                <w:kern w:val="0"/>
                <w:sz w:val="20"/>
                <w:szCs w:val="20"/>
                <w14:textFill>
                  <w14:solidFill>
                    <w14:schemeClr w14:val="tx1"/>
                  </w14:solidFill>
                </w14:textFill>
              </w:rPr>
              <w:br w:type="textWrapping"/>
            </w:r>
            <w:r>
              <w:rPr>
                <w:rFonts w:hint="eastAsia" w:ascii="宋体" w:hAnsi="宋体" w:eastAsia="宋体" w:cs="宋体"/>
                <w:color w:val="000000" w:themeColor="text1"/>
                <w:kern w:val="0"/>
                <w:sz w:val="20"/>
                <w:szCs w:val="20"/>
                <w14:textFill>
                  <w14:solidFill>
                    <w14:schemeClr w14:val="tx1"/>
                  </w14:solidFill>
                </w14:textFill>
              </w:rPr>
              <w:t>■基层公共服务</w:t>
            </w:r>
          </w:p>
          <w:p>
            <w:pPr>
              <w:widowControl/>
              <w:spacing w:line="240" w:lineRule="exact"/>
              <w:ind w:firstLine="200" w:firstLineChars="100"/>
              <w:jc w:val="left"/>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平台</w:t>
            </w: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9.5社会保障卡密码修改与重置</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9.6社会保障卡挂失与解挂</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9.7社会保障卡补换、换领、换发</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190" w:type="pct"/>
            <w:tcBorders>
              <w:tl2br w:val="nil"/>
              <w:tr2bl w:val="nil"/>
            </w:tcBorders>
            <w:shd w:val="clear" w:color="auto" w:fill="auto"/>
            <w:tcMar>
              <w:top w:w="15" w:type="dxa"/>
              <w:left w:w="15" w:type="dxa"/>
              <w:right w:w="15" w:type="dxa"/>
            </w:tcMar>
            <w:vAlign w:val="center"/>
          </w:tcPr>
          <w:p>
            <w:pPr>
              <w:widowControl/>
              <w:numPr>
                <w:ilvl w:val="0"/>
                <w:numId w:val="1"/>
              </w:numPr>
              <w:spacing w:line="240" w:lineRule="exact"/>
              <w:ind w:left="425" w:leftChars="0" w:hanging="425" w:firstLineChars="0"/>
              <w:jc w:val="center"/>
              <w:textAlignment w:val="center"/>
              <w:rPr>
                <w:rFonts w:ascii="宋体" w:hAnsi="宋体" w:eastAsia="宋体" w:cs="宋体"/>
                <w:color w:val="000000" w:themeColor="text1"/>
                <w:sz w:val="20"/>
                <w:szCs w:val="20"/>
                <w14:textFill>
                  <w14:solidFill>
                    <w14:schemeClr w14:val="tx1"/>
                  </w14:solidFill>
                </w14:textFill>
              </w:rPr>
            </w:pPr>
          </w:p>
        </w:tc>
        <w:tc>
          <w:tcPr>
            <w:tcW w:w="220"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56"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9.8社会保障卡注销</w:t>
            </w:r>
          </w:p>
        </w:tc>
        <w:tc>
          <w:tcPr>
            <w:tcW w:w="227"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661"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94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363"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47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Style w:val="7"/>
                <w:rFonts w:hint="default"/>
                <w:color w:val="000000" w:themeColor="text1"/>
                <w14:textFill>
                  <w14:solidFill>
                    <w14:schemeClr w14:val="tx1"/>
                  </w14:solidFill>
                </w14:textFill>
              </w:rPr>
              <w:t>县人社局</w:t>
            </w:r>
          </w:p>
        </w:tc>
        <w:tc>
          <w:tcPr>
            <w:tcW w:w="667" w:type="pct"/>
            <w:vMerge w:val="continue"/>
            <w:tcBorders>
              <w:tl2br w:val="nil"/>
              <w:tr2bl w:val="nil"/>
            </w:tcBorders>
            <w:shd w:val="clear" w:color="auto" w:fill="auto"/>
            <w:tcMar>
              <w:top w:w="15" w:type="dxa"/>
              <w:left w:w="15" w:type="dxa"/>
              <w:right w:w="15" w:type="dxa"/>
            </w:tcMar>
            <w:vAlign w:val="center"/>
          </w:tcPr>
          <w:p>
            <w:pPr>
              <w:widowControl/>
              <w:spacing w:line="240" w:lineRule="exact"/>
              <w:jc w:val="left"/>
              <w:rPr>
                <w:rFonts w:ascii="宋体" w:hAnsi="宋体" w:eastAsia="宋体" w:cs="宋体"/>
                <w:color w:val="000000" w:themeColor="text1"/>
                <w:sz w:val="20"/>
                <w:szCs w:val="20"/>
                <w14:textFill>
                  <w14:solidFill>
                    <w14:schemeClr w14:val="tx1"/>
                  </w14:solidFill>
                </w14:textFill>
              </w:rPr>
            </w:pPr>
          </w:p>
        </w:tc>
        <w:tc>
          <w:tcPr>
            <w:tcW w:w="142"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215"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119"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49" w:type="pct"/>
            <w:tcBorders>
              <w:tl2br w:val="nil"/>
              <w:tr2bl w:val="nil"/>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themeColor="text1"/>
                <w:sz w:val="20"/>
                <w:szCs w:val="20"/>
                <w14:textFill>
                  <w14:solidFill>
                    <w14:schemeClr w14:val="tx1"/>
                  </w14:solidFill>
                </w14:textFill>
              </w:rPr>
            </w:pPr>
          </w:p>
        </w:tc>
        <w:tc>
          <w:tcPr>
            <w:tcW w:w="238"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130" w:type="pct"/>
            <w:tcBorders>
              <w:tl2br w:val="nil"/>
              <w:tr2bl w:val="nil"/>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bl>
    <w:p>
      <w:pPr>
        <w:rPr>
          <w:sz w:val="32"/>
          <w:szCs w:val="32"/>
        </w:rPr>
      </w:pPr>
    </w:p>
    <w:sectPr>
      <w:pgSz w:w="16838" w:h="11906" w:orient="landscape"/>
      <w:pgMar w:top="567" w:right="567" w:bottom="567" w:left="56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A1F81D"/>
    <w:multiLevelType w:val="singleLevel"/>
    <w:tmpl w:val="A6A1F81D"/>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BB0"/>
    <w:rsid w:val="002B1FD0"/>
    <w:rsid w:val="002E7CBE"/>
    <w:rsid w:val="003340BE"/>
    <w:rsid w:val="00547149"/>
    <w:rsid w:val="00582917"/>
    <w:rsid w:val="00622031"/>
    <w:rsid w:val="00714BB0"/>
    <w:rsid w:val="00805BCA"/>
    <w:rsid w:val="00957887"/>
    <w:rsid w:val="009C2C81"/>
    <w:rsid w:val="00B35737"/>
    <w:rsid w:val="00B5345F"/>
    <w:rsid w:val="00BF47A1"/>
    <w:rsid w:val="00C079DE"/>
    <w:rsid w:val="00E14046"/>
    <w:rsid w:val="00ED5C38"/>
    <w:rsid w:val="00FB62E7"/>
    <w:rsid w:val="00FB63EC"/>
    <w:rsid w:val="0CA24178"/>
    <w:rsid w:val="112E7926"/>
    <w:rsid w:val="1C063AE3"/>
    <w:rsid w:val="26D7504F"/>
    <w:rsid w:val="29D10464"/>
    <w:rsid w:val="2F8010CD"/>
    <w:rsid w:val="37F53AE9"/>
    <w:rsid w:val="3CAC3B76"/>
    <w:rsid w:val="3F420FD9"/>
    <w:rsid w:val="46062968"/>
    <w:rsid w:val="57EE4277"/>
    <w:rsid w:val="5E0A530A"/>
    <w:rsid w:val="607B3463"/>
    <w:rsid w:val="750C3C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6">
    <w:name w:val="annotation reference"/>
    <w:basedOn w:val="5"/>
    <w:qFormat/>
    <w:uiPriority w:val="0"/>
    <w:rPr>
      <w:sz w:val="21"/>
      <w:szCs w:val="21"/>
    </w:rPr>
  </w:style>
  <w:style w:type="character" w:customStyle="1" w:styleId="7">
    <w:name w:val="font81"/>
    <w:basedOn w:val="5"/>
    <w:qFormat/>
    <w:uiPriority w:val="0"/>
    <w:rPr>
      <w:rFonts w:hint="eastAsia" w:ascii="宋体" w:hAnsi="宋体" w:eastAsia="宋体" w:cs="宋体"/>
      <w:color w:val="000000"/>
      <w:sz w:val="20"/>
      <w:szCs w:val="20"/>
      <w:u w:val="none"/>
    </w:rPr>
  </w:style>
  <w:style w:type="character" w:customStyle="1" w:styleId="8">
    <w:name w:val="font91"/>
    <w:basedOn w:val="5"/>
    <w:qFormat/>
    <w:uiPriority w:val="0"/>
    <w:rPr>
      <w:rFonts w:hint="eastAsia" w:ascii="宋体" w:hAnsi="宋体" w:eastAsia="宋体" w:cs="宋体"/>
      <w:color w:val="FF0000"/>
      <w:sz w:val="20"/>
      <w:szCs w:val="20"/>
      <w:u w:val="none"/>
    </w:rPr>
  </w:style>
  <w:style w:type="character" w:customStyle="1" w:styleId="9">
    <w:name w:val="font01"/>
    <w:basedOn w:val="5"/>
    <w:qFormat/>
    <w:uiPriority w:val="0"/>
    <w:rPr>
      <w:rFonts w:hint="eastAsia" w:ascii="宋体" w:hAnsi="宋体" w:eastAsia="宋体" w:cs="宋体"/>
      <w:color w:val="000000"/>
      <w:sz w:val="20"/>
      <w:szCs w:val="20"/>
      <w:u w:val="single"/>
    </w:rPr>
  </w:style>
  <w:style w:type="character" w:customStyle="1" w:styleId="10">
    <w:name w:val="页眉 Char"/>
    <w:basedOn w:val="5"/>
    <w:link w:val="3"/>
    <w:qFormat/>
    <w:uiPriority w:val="0"/>
    <w:rPr>
      <w:rFonts w:asciiTheme="minorHAnsi" w:hAnsiTheme="minorHAnsi" w:eastAsiaTheme="minorEastAsia" w:cstheme="minorBidi"/>
      <w:kern w:val="2"/>
      <w:sz w:val="18"/>
      <w:szCs w:val="18"/>
    </w:rPr>
  </w:style>
  <w:style w:type="character" w:customStyle="1" w:styleId="11">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22</Pages>
  <Words>2562</Words>
  <Characters>14609</Characters>
  <Lines>121</Lines>
  <Paragraphs>34</Paragraphs>
  <TotalTime>132</TotalTime>
  <ScaleCrop>false</ScaleCrop>
  <LinksUpToDate>false</LinksUpToDate>
  <CharactersWithSpaces>17137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pumpkin</cp:lastModifiedBy>
  <dcterms:modified xsi:type="dcterms:W3CDTF">2020-10-30T05:33:37Z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